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2102485</wp:posOffset>
            </wp:positionH>
            <wp:positionV relativeFrom="paragraph">
              <wp:posOffset>74930</wp:posOffset>
            </wp:positionV>
            <wp:extent cx="1635760" cy="445135"/>
            <wp:effectExtent l="0" t="0" r="0" b="0"/>
            <wp:wrapSquare wrapText="bothSides"/>
            <wp:docPr id="1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Departamento de _______________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Curso de 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sz w:val="28"/>
          <w:szCs w:val="28"/>
        </w:rPr>
        <w:t>Núcleo Docente Estruturante (NDE)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  <w:t>RELATÓRIO DE ADEQUAÇÃO DAS BIBLIOGRAFIAS (BÁSICA e COMPLEMENTAR)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São João del-Rei, MG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2021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4488815</wp:posOffset>
            </wp:positionH>
            <wp:positionV relativeFrom="paragraph">
              <wp:posOffset>11430</wp:posOffset>
            </wp:positionV>
            <wp:extent cx="1635760" cy="44513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u w:val="none"/>
        </w:rPr>
        <w:t xml:space="preserve">1. </w:t>
      </w:r>
      <w:r>
        <w:rPr>
          <w:rFonts w:eastAsia="Arial" w:cs="Arial" w:ascii="Arial" w:hAnsi="Arial"/>
          <w:b/>
          <w:sz w:val="24"/>
          <w:szCs w:val="24"/>
          <w:u w:val="single"/>
        </w:rPr>
        <w:t>APRESENTAÇÃO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8"/>
          <w:szCs w:val="28"/>
          <w:u w:val="none"/>
        </w:rPr>
      </w:pPr>
      <w:r>
        <w:rPr>
          <w:rFonts w:eastAsia="Arial" w:cs="Arial" w:ascii="Arial" w:hAnsi="Arial"/>
          <w:b w:val="false"/>
          <w:sz w:val="28"/>
          <w:szCs w:val="28"/>
          <w:u w:val="none"/>
        </w:rPr>
        <w:tab/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O presente relatório foi desenvolvido pela Divisão de Biblioteca (DIBIB) e preenchido pelo Núcleo Docente Estruturante (NDE) do curso de _______________ da UFSJ e trata da adequação dos títulos e da quantidade de exemplares de cada disciplina em relação à quantidade de vagas anuais ofertadas pelo curso bem como a opção por acervo virtual ou físico para fins de autorização/reconhecimento/renovação do curso pelo MEC.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 xml:space="preserve">O relatório buscou responder </w:t>
      </w:r>
      <w:r>
        <w:rPr>
          <w:rFonts w:eastAsia="Arial" w:cs="Arial" w:ascii="Arial" w:hAnsi="Arial"/>
        </w:rPr>
        <w:t>às seguintes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questões: </w:t>
      </w:r>
    </w:p>
    <w:p>
      <w:pPr>
        <w:pStyle w:val="Normal"/>
        <w:numPr>
          <w:ilvl w:val="0"/>
          <w:numId w:val="4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O acervo está tombado e informatizado? </w:t>
      </w:r>
    </w:p>
    <w:p>
      <w:pPr>
        <w:pStyle w:val="Normal"/>
        <w:numPr>
          <w:ilvl w:val="0"/>
          <w:numId w:val="5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O acervo é adequado e está atualizado considerando as características das unidades curriculares constantes na matriz curricular (número de títulos e de exemplares versus total de vagas autorizadas para o curso)? </w:t>
      </w:r>
    </w:p>
    <w:p>
      <w:pPr>
        <w:pStyle w:val="Normal"/>
        <w:numPr>
          <w:ilvl w:val="0"/>
          <w:numId w:val="6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O acervo virtual está disponível de forma ininterrupta aos usuários? </w:t>
      </w:r>
    </w:p>
    <w:p>
      <w:pPr>
        <w:pStyle w:val="Normal"/>
        <w:numPr>
          <w:ilvl w:val="0"/>
          <w:numId w:val="6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O acervo possui exemplares ou assinaturas de acesso virtual de periódicos especializados que suplementam o conteúdo das unidades curriculares?</w:t>
      </w:r>
    </w:p>
    <w:p>
      <w:pPr>
        <w:pStyle w:val="Normal"/>
        <w:numPr>
          <w:ilvl w:val="0"/>
          <w:numId w:val="6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Como ocorre a gestão do acervo com relação a atualização da quantidade de exemplares e assinaturas (quando for virtual) e plano de contingência para garantia do acesso e do serviço?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>Para tanto, o NDE realizou levantamento das informações necessárias junto à Divisão de Biblioteca da UFSJ.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>Segundo definições do NDE, o acervo bibliográfico será atualizado constantemente, em razão de novas edições ou para atualização dos temas objeto de estudos, além de publicações destinadas a subsidiar projetos de pesquisa (iniciação científica) e extensão.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>Definiu-se também a necessidade de uso de acervo bibliográfico virtual (</w:t>
      </w:r>
      <w:r>
        <w:rPr>
          <w:rFonts w:eastAsia="Arial" w:cs="Arial" w:ascii="Arial" w:hAnsi="Arial"/>
          <w:b w:val="false"/>
          <w:i/>
          <w:sz w:val="24"/>
          <w:szCs w:val="24"/>
          <w:u w:val="none"/>
        </w:rPr>
        <w:t>e-books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) que complementa e proporciona flexibilidade de acesso, além de atender aos quesitos de acessibilidade, isto pois as características atuais dos alunos tornam este item essencial à sua formação.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none"/>
        </w:rPr>
        <w:t xml:space="preserve">2. </w:t>
      </w:r>
      <w:r>
        <w:rPr>
          <w:rFonts w:eastAsia="Arial" w:cs="Arial" w:ascii="Arial" w:hAnsi="Arial"/>
          <w:b/>
          <w:sz w:val="24"/>
          <w:szCs w:val="24"/>
          <w:u w:val="single"/>
        </w:rPr>
        <w:t>DIVISÃO DE BIBLIOTECA</w:t>
      </w:r>
    </w:p>
    <w:p>
      <w:pPr>
        <w:pStyle w:val="Normal"/>
        <w:spacing w:lineRule="auto" w:line="360"/>
        <w:jc w:val="left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 xml:space="preserve">A Divisão de Biblioteca (DIBIB) é composta atualmente por 6 (seis) bibliotecas, sendo localizada uma em cada Campus da UFSJ. Todas são informatizadas com o sistema Pergamum: </w:t>
      </w:r>
      <w:hyperlink r:id="rId4">
        <w:r>
          <w:rPr>
            <w:rFonts w:eastAsia="Arial" w:cs="Arial" w:ascii="Arial" w:hAnsi="Arial"/>
            <w:b w:val="false"/>
            <w:color w:val="1155CC"/>
            <w:sz w:val="24"/>
            <w:szCs w:val="24"/>
            <w:u w:val="single"/>
          </w:rPr>
          <w:t>http://www.biblioteca.ufsj.edu.br/pergamum/biblioteca/index.php</w:t>
        </w:r>
      </w:hyperlink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- que permite o controle dos acervos, desde a aquisição, processamento técnico até os serviços de circulação. Assim, a DIBIB oferece aos usuários o acesso </w:t>
      </w:r>
      <w:r>
        <w:rPr>
          <w:rFonts w:eastAsia="Arial" w:cs="Arial" w:ascii="Arial" w:hAnsi="Arial"/>
          <w:b w:val="false"/>
          <w:i/>
          <w:sz w:val="24"/>
          <w:szCs w:val="24"/>
          <w:u w:val="none"/>
        </w:rPr>
        <w:t>on-line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ao catálogo e aos serviços de renovação e reserva. São ofertados periodicamente treinamentos aos usuários visando a capacitação para uso do catálogo Pergamum, da biblioteca digital, portal de periódicos da Capes, fontes de informação </w:t>
      </w:r>
      <w:r>
        <w:rPr>
          <w:rFonts w:eastAsia="Arial" w:cs="Arial" w:ascii="Arial" w:hAnsi="Arial"/>
          <w:b w:val="false"/>
          <w:i/>
          <w:sz w:val="24"/>
          <w:szCs w:val="24"/>
          <w:u w:val="none"/>
        </w:rPr>
        <w:t>on-line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e aplicação de normas para trabalhos acadêmicos.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 xml:space="preserve">Informações gerais sobre a DIBIB podem ser obtidas no endereço eletrônico: </w:t>
      </w:r>
      <w:hyperlink r:id="rId5">
        <w:r>
          <w:rPr>
            <w:rFonts w:eastAsia="Arial" w:cs="Arial" w:ascii="Arial" w:hAnsi="Arial"/>
            <w:color w:val="1155CC"/>
            <w:u w:val="single"/>
          </w:rPr>
          <w:t>http://dibib.ufsj.edu.br</w:t>
        </w:r>
      </w:hyperlink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, como exemplo: 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Regulamento, o qual define normas para o funcionamento das bibliotecas, circulação de exemplares, direitos e deveres dos usuários etc.;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Política de formação e desenvolvimento do acervo;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Links de acesso aos serviços oferecidos;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Links de acesso aos portais digitais;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Apresentação da equipe de trabalho (servidores e colaboradores);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Estrutura e informações gerenciais;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>Tutoriais;</w:t>
      </w:r>
    </w:p>
    <w:p>
      <w:pPr>
        <w:pStyle w:val="Normal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Canais de contato. 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Todo o catálogo do acervo físico disponível nas bibliotecas está informatizado e devidamente tombado no Pergamum. Títulos digitais também estão disponíveis e a consulta pode ser realizada através do catálogo </w:t>
      </w:r>
      <w:r>
        <w:rPr>
          <w:rFonts w:eastAsia="Arial" w:cs="Arial" w:ascii="Arial" w:hAnsi="Arial"/>
          <w:b w:val="false"/>
          <w:i/>
          <w:sz w:val="24"/>
          <w:szCs w:val="24"/>
          <w:u w:val="none"/>
        </w:rPr>
        <w:t>on-line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. A DIBIB não possui assinatura de periódicos impressos na área do curso. Entretanto, a disponibilização do acervo de periódicos se dá por meio do acesso ao Portal de Periódicos da CAPES: </w:t>
      </w:r>
      <w:hyperlink r:id="rId6">
        <w:r>
          <w:rPr>
            <w:rFonts w:eastAsia="Arial" w:cs="Arial" w:ascii="Arial" w:hAnsi="Arial"/>
            <w:color w:val="1155CC"/>
            <w:u w:val="single"/>
          </w:rPr>
          <w:t>http://www.periodicos.capes.gov.br/</w:t>
        </w:r>
      </w:hyperlink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e demais portais </w:t>
      </w:r>
      <w:r>
        <w:rPr>
          <w:rFonts w:eastAsia="Arial" w:cs="Arial" w:ascii="Arial" w:hAnsi="Arial"/>
          <w:b w:val="false"/>
          <w:i/>
          <w:sz w:val="24"/>
          <w:szCs w:val="24"/>
          <w:u w:val="none"/>
        </w:rPr>
        <w:t>open access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firstLine="709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4488815</wp:posOffset>
            </wp:positionH>
            <wp:positionV relativeFrom="paragraph">
              <wp:posOffset>11430</wp:posOffset>
            </wp:positionV>
            <wp:extent cx="1635760" cy="445135"/>
            <wp:effectExtent l="0" t="0" r="0" b="0"/>
            <wp:wrapSquare wrapText="bothSides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  <w:u w:val="none"/>
        </w:rPr>
        <w:t xml:space="preserve">3. </w:t>
      </w:r>
      <w:r>
        <w:rPr>
          <w:rFonts w:eastAsia="Arial" w:cs="Arial" w:ascii="Arial" w:hAnsi="Arial"/>
          <w:b/>
          <w:sz w:val="24"/>
          <w:szCs w:val="24"/>
          <w:u w:val="single"/>
        </w:rPr>
        <w:t>BIBLIOGRAFIAS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 xml:space="preserve">Para aquisição da bibliografia apresentada no presente Projeto Pedagógico do Curso (PPC) de _______________ relacionada a autorização/reconhecimento/renovação do curso, o NDE instituiu como referência os valores constantes do instrumento de avaliação do INEP de agosto de 2015 (indicadores 3.6 e 3.7) para a definição do número de títulos e exemplares para bibliografia básica e complementar, optando-se por manter o quantitativo que considera atender de forma </w:t>
      </w:r>
      <w:r>
        <w:rPr>
          <w:rFonts w:eastAsia="Arial" w:cs="Arial" w:ascii="Arial" w:hAnsi="Arial"/>
          <w:b/>
          <w:sz w:val="24"/>
          <w:szCs w:val="24"/>
          <w:u w:val="none"/>
        </w:rPr>
        <w:t>excelente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 a diversidade e número de exemplares por alunos do curso, disponibilidade de acervo virtual de forma ilimitada, utilizando para tanto os quantitativos definidos para </w:t>
      </w:r>
      <w:r>
        <w:rPr>
          <w:rFonts w:eastAsia="Arial" w:cs="Arial" w:ascii="Arial" w:hAnsi="Arial"/>
          <w:b/>
          <w:sz w:val="24"/>
          <w:szCs w:val="24"/>
          <w:u w:val="none"/>
        </w:rPr>
        <w:t>conceito 5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, tanto para bibliografia básica quanto para a complementar como descritos a seguir: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0" w:leader="none"/>
        </w:tabs>
        <w:spacing w:lineRule="auto" w:line="360"/>
        <w:ind w:left="1097" w:hanging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O acervo da bibliografia básica, com no </w:t>
      </w:r>
      <w:r>
        <w:rPr>
          <w:rFonts w:eastAsia="Arial" w:cs="Arial" w:ascii="Arial" w:hAnsi="Arial"/>
          <w:b/>
          <w:sz w:val="24"/>
          <w:szCs w:val="24"/>
          <w:u w:val="none"/>
        </w:rPr>
        <w:t>mínimo 3 (três) títulos por unidade curricular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, estará disponível na proporção média de um exemplar para menos de 5 (cinco) vagas anuais autorizadas, de cada uma das unidades curriculares, de todos os cursos que efetivamente utilizam o acervo, além de estar informatizado e tombado;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0" w:leader="none"/>
        </w:tabs>
        <w:spacing w:lineRule="auto" w:line="360"/>
        <w:ind w:left="1097" w:hanging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 xml:space="preserve">O acervo da bibliografia complementar possui, pelo </w:t>
      </w:r>
      <w:r>
        <w:rPr>
          <w:rFonts w:eastAsia="Arial" w:cs="Arial" w:ascii="Arial" w:hAnsi="Arial"/>
          <w:b/>
          <w:sz w:val="24"/>
          <w:szCs w:val="24"/>
          <w:u w:val="none"/>
        </w:rPr>
        <w:t>menos 5 (cinco) títulos por unidade curricular</w:t>
      </w:r>
      <w:r>
        <w:rPr>
          <w:rFonts w:eastAsia="Arial" w:cs="Arial" w:ascii="Arial" w:hAnsi="Arial"/>
          <w:b w:val="false"/>
          <w:sz w:val="24"/>
          <w:szCs w:val="24"/>
          <w:u w:val="none"/>
        </w:rPr>
        <w:t>, com 2 (dois) exemplares de cada título ou com acesso virtual.</w:t>
      </w:r>
    </w:p>
    <w:p>
      <w:pPr>
        <w:pStyle w:val="Normal"/>
        <w:tabs>
          <w:tab w:val="clear" w:pos="720"/>
          <w:tab w:val="left" w:pos="50" w:leader="none"/>
        </w:tabs>
        <w:spacing w:lineRule="auto" w:line="360"/>
        <w:jc w:val="both"/>
        <w:rPr>
          <w:rFonts w:ascii="Arial" w:hAnsi="Arial" w:eastAsia="Arial" w:cs="Arial"/>
          <w:b w:val="false"/>
          <w:b w:val="false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50" w:leader="none"/>
        </w:tabs>
        <w:spacing w:lineRule="auto" w:line="360"/>
        <w:jc w:val="both"/>
        <w:rPr/>
      </w:pPr>
      <w:r>
        <w:rPr>
          <w:rFonts w:eastAsia="Arial" w:cs="Arial" w:ascii="Arial" w:hAnsi="Arial"/>
          <w:b w:val="false"/>
          <w:sz w:val="24"/>
          <w:szCs w:val="24"/>
          <w:u w:val="none"/>
        </w:rPr>
        <w:tab/>
        <w:tab/>
        <w:t xml:space="preserve">O acervo é gerenciado de forma compartilhada pelo NDE em termos quantitativos (exemplares e números de títulos por disciplinas) e qualitativo (quais obras/títulos comporão a bibliografia básica e a complementar) e pela DIBIB no aspecto da manutenção e ampliação do acervo (em função da usabilidade) e outras questões gerenciais visando atualizar a quantidade de exemplares e/ou assinaturas de acesso mais requisitadas. A DIBIB também fica responsável por disponibilizar relatórios com dados que possibilitam a tomada de decisões por parte do NDE.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left" w:pos="50" w:leader="none"/>
        </w:tabs>
        <w:spacing w:lineRule="auto" w:line="360" w:before="0" w:after="0"/>
        <w:ind w:left="0" w:right="0" w:firstLine="709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trabalho de revisão das bibliografias necessita ser contínuo e deve contar com a colaboração do docente que ministra o componente curricular, para ser posteriormente referendado por ata do NDE.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9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Orientamos que a revisão de bibliografia seja feita, considerando: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9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1069" w:right="0" w:hanging="36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Racionalidade, priorizando a indicação de bibliografia conforme acervo já existente nas bibliotecas dos Campi da UFSJ;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360" w:before="0" w:after="0"/>
        <w:ind w:left="1069" w:right="0" w:hanging="36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Possibilidade de indicar acervo virtual (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e-books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360" w:before="0" w:after="0"/>
        <w:ind w:left="1069" w:right="0" w:hanging="36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Atenção aos critérios de avaliação do Instrumento de Avaliação de Cursos de Graduação Presencial e a Distância (INEP, 2017).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Considerando todo o exposto, o NDE do curso de _______________ no uso de suas atribuições regimentais e regulamentares, após análise das unidades curriculares constantes no PPC, apresenta e referenda a adequação para bibliografias básicas e complementares do curso, considerando o atendimento aos discentes de forma excelente, no Anexo </w:t>
      </w:r>
      <w:r>
        <w:rPr>
          <w:rFonts w:eastAsia="Arial" w:cs="Arial" w:ascii="Arial" w:hAnsi="Arial"/>
        </w:rPr>
        <w:t>abaixo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</w:rPr>
        <w:t>deste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relatório. O NDE a partir destas características se responsabilizará pela solicitação das atualizações do acervo do curso.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É de suma importância destacar que a estruturação, ampliação e atualização do acervo dependem da disponibilidade orçamentária da instituição.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7600315</wp:posOffset>
            </wp:positionH>
            <wp:positionV relativeFrom="paragraph">
              <wp:posOffset>-9525</wp:posOffset>
            </wp:positionV>
            <wp:extent cx="1635760" cy="445135"/>
            <wp:effectExtent l="0" t="0" r="0" b="0"/>
            <wp:wrapSquare wrapText="bothSides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ANEXO PARA PREENCHIMENTO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141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0"/>
      </w:tblGrid>
      <w:tr>
        <w:trPr/>
        <w:tc>
          <w:tcPr>
            <w:tcW w:w="1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FORMULÁRIO DE ANÁLISE DE BIBLIOGRAFIA – CURSO DE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MATEMÁTICA</w:t>
            </w:r>
          </w:p>
        </w:tc>
      </w:tr>
      <w:tr>
        <w:trPr/>
        <w:tc>
          <w:tcPr>
            <w:tcW w:w="1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Critério de análise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Apontar nas fichas a adequação da bibliografia, sendo: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MANTER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do PPC vigente que permanecerão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que serão substituídos por outro título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ATUALIZAR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que serão mantidos com edições mais recentes;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ACRESCENTAR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não existentes no PPC vigente que passarão a existir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EXCLUIR </w:t>
            </w:r>
            <w:r>
              <w:rPr>
                <w:rFonts w:eastAsia="Arial" w:cs="Arial" w:ascii="Arial" w:hAnsi="Arial"/>
                <w:sz w:val="16"/>
                <w:szCs w:val="16"/>
              </w:rPr>
              <w:t>- para títulos que serão excluídos do PPC vigente.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APROVADO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considerados adequados para o conteúdo da disciplina, para os objetivos concernentes ao perfil do egresso proposto, atualizados e promotores da melhoria do conhecimento e qualidade do curso;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REPROVADO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considerados inadequados ou desatualizados para o conteúdo da disciplina;  - para títulos que não atenderem um ou mais requisitos acima citados. Atentar que não é possível  alguns clássicos por edições mais novas, pois não foram editadas.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OBS.: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Preencher o formulário para cada disciplina do PPC.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2"/>
        <w:tblW w:w="14145" w:type="dxa"/>
        <w:jc w:val="left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1170"/>
        <w:gridCol w:w="1169"/>
        <w:gridCol w:w="1170"/>
        <w:gridCol w:w="1170"/>
        <w:gridCol w:w="3181"/>
        <w:gridCol w:w="1574"/>
      </w:tblGrid>
      <w:tr>
        <w:trPr/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1° PERÍODO</w:t>
            </w:r>
          </w:p>
        </w:tc>
      </w:tr>
      <w:tr>
        <w:trPr>
          <w:trHeight w:val="33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</w:rPr>
              <w:t xml:space="preserve">Disciplina: </w:t>
            </w:r>
            <w:r>
              <w:rPr>
                <w:rFonts w:eastAsia="Arial" w:cs="Arial" w:ascii="Arial" w:hAnsi="Arial"/>
              </w:rPr>
              <w:t xml:space="preserve">_________________________________________    </w:t>
            </w:r>
            <w:r>
              <w:rPr>
                <w:rFonts w:eastAsia="Arial" w:cs="Arial" w:ascii="Arial" w:hAnsi="Arial"/>
                <w:b/>
              </w:rPr>
              <w:t>N° de vagas:</w:t>
            </w:r>
            <w:r>
              <w:rPr>
                <w:rFonts w:eastAsia="Arial" w:cs="Arial" w:ascii="Arial" w:hAnsi="Arial"/>
              </w:rPr>
              <w:t>__________________</w:t>
            </w:r>
          </w:p>
        </w:tc>
      </w:tr>
      <w:tr>
        <w:trPr>
          <w:trHeight w:val="35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Bibliografia Básica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FFFF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highlight w:val="white"/>
              </w:rPr>
              <w:t>PPC VIGENTE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Exemplares físicos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Digitais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Exemplares aprovados no Edital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Manter /  / Atualizar / Acrescentar / Excluir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PPC ATUALIZADO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Análise NDE (Aprovado / Reprovado / )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Referência atual</w:t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Alterar para [nova referência]:</w:t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left="720" w:hanging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</w:rPr>
              <w:t>Bibliografia Complementar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highlight w:val="white"/>
              </w:rPr>
              <w:t>PPC VIGENTE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Exemplares físicos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Digitais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Exemplares aprovados no Edital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Manter /  / Atualizar / Acrescentar / Excluir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PPC ATUALIZADO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Análise NDE (Aprovado / Reprovado / )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Referências</w:t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Alterar para [nova referência]:</w:t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3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7637145</wp:posOffset>
            </wp:positionH>
            <wp:positionV relativeFrom="paragraph">
              <wp:posOffset>6350</wp:posOffset>
            </wp:positionV>
            <wp:extent cx="1635760" cy="445135"/>
            <wp:effectExtent l="0" t="0" r="0" b="0"/>
            <wp:wrapSquare wrapText="bothSides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ANEXO - </w:t>
      </w:r>
      <w:r>
        <w:rPr>
          <w:rFonts w:eastAsia="Arial" w:cs="Arial" w:ascii="Arial" w:hAnsi="Arial"/>
          <w:b/>
          <w:u w:val="single"/>
        </w:rPr>
        <w:t xml:space="preserve">EXEMPLO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MODELO PREENCHIDO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141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0"/>
      </w:tblGrid>
      <w:tr>
        <w:trPr/>
        <w:tc>
          <w:tcPr>
            <w:tcW w:w="1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FORMULÁRIO DE ANÁLISE DE BIBLIOGRAFIA – CURSO DE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MATEMÁTICA</w:t>
            </w:r>
          </w:p>
        </w:tc>
      </w:tr>
      <w:tr>
        <w:trPr/>
        <w:tc>
          <w:tcPr>
            <w:tcW w:w="1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Critério de análise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Apontar nas fichas a adequação da bibliografia, sendo: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MANTER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do PPC vigente que permanecerão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que serão substituídos por outro título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ATUALIZAR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que serão mantidos com edições mais recentes;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ACRESCENTAR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para títulos não existentes no PPC vigente que passarão a existir no PPC atualizado;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EXCLUIR </w:t>
            </w:r>
            <w:r>
              <w:rPr>
                <w:rFonts w:eastAsia="Arial" w:cs="Arial" w:ascii="Arial" w:hAnsi="Arial"/>
                <w:sz w:val="16"/>
                <w:szCs w:val="16"/>
              </w:rPr>
              <w:t>- para títulos que serão excluídos do PPC vigente.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APROVADO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considerados adequados para o conteúdo da disciplina, para os objetivos concernentes ao perfil do egresso proposto, atualizados e promotores da melhoria do conhecimento e qualidade do curso;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REPROVADO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para títulos considerados inadequados ou desatualizados para o conteúdo da disciplina;  - para títulos que não atenderem um ou mais requisitos acima citados. Atentar que não é possível  alguns clássicos por edições mais novas, pois não foram editadas.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OBS.: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Preencher o formulário para cada disciplina do PPC.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14145" w:type="dxa"/>
        <w:jc w:val="left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1170"/>
        <w:gridCol w:w="1169"/>
        <w:gridCol w:w="1170"/>
        <w:gridCol w:w="1335"/>
        <w:gridCol w:w="3016"/>
        <w:gridCol w:w="1574"/>
      </w:tblGrid>
      <w:tr>
        <w:trPr/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1° PERÍODO</w:t>
            </w:r>
          </w:p>
        </w:tc>
      </w:tr>
      <w:tr>
        <w:trPr>
          <w:trHeight w:val="33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Disciplina: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Teorias da comunicação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N° de vagas: </w:t>
            </w: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5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Bibliografia Básica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FFFF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PPC VIGENTE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Exemplares físicos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Digitais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Exemplares aprovados no Edital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Manter /  Atualizar / Acrescentar / Excluir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PPC ATUALIZADO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Análise NDE (Aprovado / Reprovado / Substituir)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Referência atual</w:t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1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3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Alterar para [nova referência]:</w:t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FRANÇA, Vera Regina Veiga;  HOLFELDT, Antônio; MARTINO, Luiz (Orgs). Teorias da Comunicação. Petrópolis: Vozes,  2004.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Manter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color w:val="000001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 xml:space="preserve">FRANÇA, Vera Regina Veiga;  HOLFELDT, Antônio; MARTINO, Luiz (org). </w:t>
            </w:r>
            <w:r>
              <w:rPr>
                <w:rFonts w:eastAsia="Arial" w:cs="Arial" w:ascii="Arial" w:hAnsi="Arial"/>
                <w:b/>
                <w:color w:val="000001"/>
                <w:sz w:val="20"/>
                <w:szCs w:val="20"/>
              </w:rPr>
              <w:t>Teorias da comunicação</w:t>
            </w:r>
            <w:r>
              <w:rPr>
                <w:rFonts w:eastAsia="Arial" w:cs="Arial" w:ascii="Arial" w:hAnsi="Arial"/>
                <w:color w:val="000001"/>
                <w:sz w:val="20"/>
                <w:szCs w:val="20"/>
              </w:rPr>
              <w:t>. 3. ed. Petrópolis: Vozes,  2004.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RODRIGUES, Adriano Duarte. Estratégias da Comunicação. Lisboa: Editorial Presença, 1990.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Atualizar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RODRIGUES, Adriano Duarte.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Estratégias da comunicação: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questão comunicacional e formas de sociabilidade. 3. ed. Lisboa: Presença, 2001. 223 p. (Universidade hoje ; 3).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WOLF, Mauro. Teorias das Comunicações de Massa. São Paulo: Martins Fontes, 2008.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Atualizar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WOLF, Mauro.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Teorias das comunicações de massa.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4. ed. São Paulo: Martins Fontes, 2010. 295 p.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>
          <w:trHeight w:val="350" w:hRule="atLeast"/>
        </w:trPr>
        <w:tc>
          <w:tcPr>
            <w:tcW w:w="141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left="720" w:hanging="3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Bibliografia Complementar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PPC VIGENTE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Exemplares físicos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Digitais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Exemplares aprovados no Edital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Manter /  Atualizar / Acrescentar / Excluir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PPC ATUALIZADO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Análise NDE (Aprovado / Reprovado / Substituir)</w:t>
            </w:r>
          </w:p>
        </w:tc>
      </w:tr>
      <w:tr>
        <w:trPr>
          <w:trHeight w:val="290" w:hRule="atLeast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Referências</w:t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1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3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6FA8DC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Alterar para [nova referência]:</w:t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DEFLEUR, Melvin L. Teorias da Comunicação de Massa. São Paulo: Arte Ciência Vilipress, 2001.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Excluir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ECO, Umberto. Apocalípticos e Integrados. São Paulo: Perspectiva, 1975.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Excluir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KELLNER, Douglas. Cultura das mídias. Bauru: Edusc, 2001.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Manter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KELLNER, Douglas.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A cultura da mídia: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estudos culturais: identidade e política entre o moderno e o pós-moderno. Bauru: EDUSC, 2001. 452 p. (Coleção Verbum).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MARTIN-BARBERO, Jesus. Dos Meios às Mediações: comunicação, cultura e hegemonia. Trad.  Ronald Polito e Sérgio Alcides. 2ª ed. Rio de Janeiro: UFRJ, 2001. 369p.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Excluir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MORIN, Edgar. Cultura de Massa no século XX - O espírito do tempo. São Paulo: Forense, 1967.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Atualizar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MORIN, Edgar.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Cultura de massas no século XX: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o espírito do tempo. 9. ed. Rio de Janeiro: Forense Universitária, 1997. 204 p. v.1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THOMPSON, J.B. A mídia e a modernidade. Petrópolis: Vozes, 1998.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Atualizar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THOMPSON, John B.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A mídia e a modernidade: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uma teoria social da mídia. 4. ed. Petropólis: Vozes, 2002. 261 p.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Acrescentar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CASTELLS, Manuel.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A sociedade em rede</w:t>
            </w:r>
            <w:r>
              <w:rPr>
                <w:rFonts w:eastAsia="Arial" w:cs="Arial" w:ascii="Arial" w:hAnsi="Arial"/>
                <w:sz w:val="20"/>
                <w:szCs w:val="20"/>
              </w:rPr>
              <w:t>. 23. ed. rev. e atual. Rio de Janeiro: Paz e Terra, 2021. 629 p. (A era da informação: economia, sociedade e cultura; 1).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Acrescentar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RODRIGUES, Adriano Duarte.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Estratégias da comunicação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questão comunicacional e formas de sociabilidade. 3. ed. Lisboa: Presença, 2001.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Aprovado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⮚"/>
      <w:lvlJc w:val="left"/>
      <w:pPr>
        <w:tabs>
          <w:tab w:val="num" w:pos="0"/>
        </w:tabs>
        <w:ind w:left="1069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⮚.%2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⮚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⮚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⮚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097" w:hanging="360"/>
      </w:pPr>
      <w:rPr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57" w:hanging="360"/>
      </w:pPr>
      <w:rPr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17" w:hanging="360"/>
      </w:pPr>
      <w:rPr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77" w:hanging="360"/>
      </w:pPr>
      <w:rPr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37" w:hanging="360"/>
      </w:pPr>
      <w:rPr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97" w:hanging="360"/>
      </w:pPr>
      <w:rPr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57" w:hanging="360"/>
      </w:pPr>
      <w:rPr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17" w:hanging="360"/>
      </w:pPr>
      <w:rPr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977" w:hanging="360"/>
      </w:pPr>
      <w:rPr>
        <w:rFonts w:ascii="Arial" w:hAnsi="Arial" w:eastAsia="Arial" w:cs="Aria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" w:customStyle="1">
    <w:name w:val="Link da Internet"/>
    <w:uiPriority w:val="0"/>
    <w:rPr>
      <w:color w:val="000080"/>
      <w:u w:val="single"/>
      <w:lang w:val="zh-CN" w:eastAsia="zh-CN" w:bidi="zh-CN"/>
    </w:rPr>
  </w:style>
  <w:style w:type="character" w:styleId="Marcadores" w:customStyle="1">
    <w:name w:val="Marcadores"/>
    <w:uiPriority w:val="0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uiPriority w:val="0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 w:customStyle="1">
    <w:name w:val="Cabeçalho e Rodapé"/>
    <w:basedOn w:val="Normal"/>
    <w:uiPriority w:val="0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uiPriority w:val="0"/>
    <w:pPr>
      <w:suppressLineNumbers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abelanormal1" w:customStyle="1">
    <w:name w:val="Tabela normal1"/>
    <w:uiPriority w:val="0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4"/>
      <w:szCs w:val="20"/>
      <w:lang w:val="pt-BR" w:eastAsia="pt-BR" w:bidi="ar-SA"/>
    </w:rPr>
  </w:style>
  <w:style w:type="paragraph" w:styleId="Standard" w:customStyle="1">
    <w:name w:val="Standard"/>
    <w:uiPriority w:val="0"/>
    <w:qFormat/>
    <w:pPr>
      <w:widowControl/>
      <w:suppressAutoHyphens w:val="true"/>
      <w:overflowPunct w:val="false"/>
      <w:bidi w:val="0"/>
      <w:spacing w:lineRule="auto" w:line="360"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4"/>
      <w:szCs w:val="22"/>
      <w:lang w:val="pt-BR" w:eastAsia="pt-BR" w:bidi="ar-SA"/>
    </w:rPr>
  </w:style>
  <w:style w:type="paragraph" w:styleId="Contedodatabela" w:customStyle="1">
    <w:name w:val="Conteúdo da tabela"/>
    <w:basedOn w:val="Normal"/>
    <w:uiPriority w:val="0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biblioteca.ufsj.edu.br/pergamum/biblioteca/index.php" TargetMode="External"/><Relationship Id="rId5" Type="http://schemas.openxmlformats.org/officeDocument/2006/relationships/hyperlink" Target="http://dibib.ufsj.edu.br/" TargetMode="External"/><Relationship Id="rId6" Type="http://schemas.openxmlformats.org/officeDocument/2006/relationships/hyperlink" Target="http://www.periodicos.capes.gov.b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liZ2cxZ86p0vbfe7OkJXdcV/jg==">AMUW2mXL3sCmnRcRsF0Ah7W3gpOVO1GiK4HzpU/AyCMsGBBX9T+DJwv0sKBQTn8/EawK+3b+9is3pEoz+Ca6uCovNtek4lX8Ee/6ADZwFSNUqICAeBhJnUw=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10</Pages>
  <Words>1787</Words>
  <Characters>10312</Characters>
  <CharactersWithSpaces>11968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2021-08-06T09:23:00Z</dcterms:created>
  <dc:creator>Luciana</dc:creator>
  <dc:description/>
  <dc:language>pt-BR</dc:language>
  <cp:lastModifiedBy/>
  <dcterms:modified xsi:type="dcterms:W3CDTF">2022-10-13T14:33:43Z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F67F41C038214D42B15D635427327835</vt:lpwstr>
  </property>
  <property fmtid="{D5CDD505-2E9C-101B-9397-08002B2CF9AE}" pid="3" name="KSOProductBuildVer">
    <vt:lpwstr>1046-11.2.0.10258</vt:lpwstr>
  </property>
</Properties>
</file>